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36"/>
          <w:szCs w:val="36"/>
          <w:u w:val="single"/>
          <w:lang w:eastAsia="ru-RU"/>
        </w:rPr>
      </w:pPr>
      <w:r w:rsidRPr="00053F1D">
        <w:rPr>
          <w:rFonts w:ascii="Times New Roman" w:eastAsia="Times New Roman" w:hAnsi="Times New Roman" w:cs="Times New Roman"/>
          <w:b/>
          <w:color w:val="212529"/>
          <w:kern w:val="36"/>
          <w:sz w:val="36"/>
          <w:szCs w:val="36"/>
          <w:u w:val="single"/>
          <w:lang w:eastAsia="ru-RU"/>
        </w:rPr>
        <w:t>В Кадастровой палате рассказали, как будут выявлять правообладателей ранее учтенной недвижимости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28"/>
          <w:szCs w:val="28"/>
          <w:lang w:eastAsia="ru-RU"/>
        </w:rPr>
      </w:pP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Сведения о зарегистрированных правах на недвижимое имущество, основаниях их возникновения, правообладателях являются главнейшей составляющей свода данных Единого государственного реестра недвижимости (ЕГРН).</w: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053F1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Между тем, в отношении значительной части учтенных в ЕГРН объектов недвижимости такие сведения отсутствуют. Эксперты Кадастровой палаты по Архангельской области и Ненецкому автономному округу рассказали, как будут выявлять такие объекты недвижимости.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Эти объекты – так называемые ранее учтенные объекты недвижимости, права на которые возникли до вступления в силу </w:t>
      </w:r>
      <w:hyperlink r:id="rId4" w:history="1">
        <w:r w:rsidRPr="00053F1D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Федерального закона от 21 июля 1997 № 122-ФЗ «О государственной регистрации прав на недвижимое имущество и сделок с ним»</w:t>
        </w:r>
      </w:hyperlink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(Закон № 122-ФЗ). Среди таких объектов – земельные участки, владельцы которых, имея на руках свидетельство о праве собственности на недвижимость или членскую книжку садового товарищества, считают, что их права на землю зарегистрированы. Это и гаражи в кооперативах, паевые взносы за которые были выплачены еще в 1995 году, и квартиры, документы на которые оформлены до вступления в силу Закона № 122-ФЗ.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053F1D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«Несмотря на то, что права на ранее учтенные объекты недвижимости признаются юридически действительными, и повторная</w: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053F1D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регистрация данных документов для подтверждения вещного права на объект не обязательна</w: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053F1D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 в интересах самих правообладателей такой недвижимости зарегистрировать ранее возникшие права по правилам действующего законодательства», </w: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– подчеркнула </w:t>
      </w:r>
      <w:r w:rsidRPr="00053F1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заместитель </w:t>
      </w:r>
      <w:proofErr w:type="spellStart"/>
      <w:r w:rsidRPr="00053F1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директора-главный</w:t>
      </w:r>
      <w:proofErr w:type="spellEnd"/>
      <w:r w:rsidRPr="00053F1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технолог Кадастровой палаты по Архангельской области и Ненецкому автономному округу Ирина Ковалёва.</w:t>
      </w:r>
      <w:proofErr w:type="gramEnd"/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настоящее время понятие государственной регистрации права закреплено </w:t>
      </w:r>
      <w:hyperlink r:id="rId5" w:history="1">
        <w:proofErr w:type="gramStart"/>
        <w:r w:rsidRPr="00053F1D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Федеральном</w:t>
        </w:r>
        <w:proofErr w:type="gramEnd"/>
        <w:r w:rsidRPr="00053F1D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 xml:space="preserve"> законом от 13.07.2015 № 218-ФЗ «О государственной регистрации недвижимости»</w:t>
        </w:r>
      </w:hyperlink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(Закон о регистрации), согласно которому, </w:t>
      </w:r>
      <w:proofErr w:type="spellStart"/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госрегистрация</w:t>
      </w:r>
      <w:proofErr w:type="spellEnd"/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прав на недвижимое имущество – юридический акт признания и подтверждения возникновения, изменения, перехода, прекращения права определенного лица на недвижимое имущество или ограничения такого права и обременения недвижимого имущества.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«Проще говоря, государственная регистрация прав – это внесение в ЕГРН записи о праве на недвижимое имущество, сведения о котором уже содержатся в реестре недвижимости, либо одновременные действия по внесению в ЕГРН записей об объекте недвижимости и правах на него</w: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 </w:t>
      </w:r>
      <w:r w:rsidRPr="00053F1D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Если сведения об объекте отсутствуют в реестре недвижимости, то и право на объект невозможно будет зарегистрировать в ЕГРН. Такую недвижимость </w:t>
      </w:r>
      <w:r w:rsidRPr="00053F1D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lastRenderedPageBreak/>
        <w:t>невозможно будет продать, обменять, завещать или сдавать кому-то в аренду»</w: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– добавила</w:t>
      </w:r>
      <w:r w:rsidRPr="00053F1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 Ирина Ковалёва.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Архангельской области 62% ранее учтенных объектов недвижимости имеют зарегистрированные в ЕГРН права. В Ненецком автономном округе права зарегистрированы на 53% ранее учтенных объектов недвижимости. Среди основных причин отсутствия сведений о зарегистрированных правах в ЕГРН – нежелание граждан зарегистрировать в реестре недвижимости свои права либо неосведомленность граждан о возможности государственной регистрации права в ЕГРН.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29 июня 2021 года вступили в силу изменения в </w:t>
      </w:r>
      <w:hyperlink r:id="rId6" w:history="1">
        <w:r w:rsidRPr="00053F1D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Закон о регистрации</w:t>
        </w:r>
      </w:hyperlink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которые направлены на внесение в ЕГРН отсутствующих сведений о правах на ранее учтенную недвижимость.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Органами исполнительной власти субъектов Российской и местного самоуправления будут проводиться масштабные работы по выявлению правообладателей ранее учтенной недвижимости на территориях указанных субъектов Российской Федерации и соответствующих муниципальных образований. А государственная регистрация прав станет обязательной при внесении сведений в ЕГРН, если с заявлением о внесении сведений о ранее учтенном объекте недвижимости обратился его правообладатель. За государственную регистрацию возникшего до дня вступления в силу </w:t>
      </w:r>
      <w:hyperlink r:id="rId7" w:history="1">
        <w:r w:rsidRPr="00053F1D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Закона № 122-ФЗ</w:t>
        </w:r>
      </w:hyperlink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права на объект недвижимости государственная пошлина не уплачивается.</w:t>
      </w:r>
    </w:p>
    <w:p w:rsidR="00053F1D" w:rsidRPr="00053F1D" w:rsidRDefault="00053F1D" w:rsidP="00053F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Узнать, внесены ли сведения о недвижимости в ЕГРН можно с помощью электронных сервисов </w:t>
      </w:r>
      <w:proofErr w:type="spellStart"/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fldChar w:fldCharType="begin"/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instrText xml:space="preserve"> HYPERLINK "https://rosreestr.gov.ru/wps/portal/p/cc_present/EGRN_1" </w:instrText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fldChar w:fldCharType="separate"/>
      </w:r>
      <w:r w:rsidRPr="00053F1D">
        <w:rPr>
          <w:rFonts w:ascii="Times New Roman" w:eastAsia="Times New Roman" w:hAnsi="Times New Roman" w:cs="Times New Roman"/>
          <w:color w:val="238795"/>
          <w:sz w:val="28"/>
          <w:szCs w:val="28"/>
          <w:lang w:eastAsia="ru-RU"/>
        </w:rPr>
        <w:t>Росреестра</w:t>
      </w:r>
      <w:proofErr w:type="spellEnd"/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fldChar w:fldCharType="end"/>
      </w:r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и </w:t>
      </w:r>
      <w:hyperlink r:id="rId8" w:history="1">
        <w:r w:rsidRPr="00053F1D">
          <w:rPr>
            <w:rFonts w:ascii="Times New Roman" w:eastAsia="Times New Roman" w:hAnsi="Times New Roman" w:cs="Times New Roman"/>
            <w:color w:val="238795"/>
            <w:sz w:val="28"/>
            <w:szCs w:val="28"/>
            <w:lang w:eastAsia="ru-RU"/>
          </w:rPr>
          <w:t>Федеральной кадастровой палаты</w:t>
        </w:r>
      </w:hyperlink>
      <w:r w:rsidRPr="00053F1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по выдаче сведений из ЕГРН. Пользователям достаточно выбрать нужные виды выписок, перейти в корзину и оплатить их. Сразу после оплаты документы можно скачивать и отправлять на печать. Распечатать выписку можно самостоятельно, причем неограниченное количество раз. Выписка заверена электронной подписью, которая делает ее юридически равнозначной бумажной.</w:t>
      </w:r>
    </w:p>
    <w:p w:rsidR="00BF27E7" w:rsidRPr="00053F1D" w:rsidRDefault="00053F1D" w:rsidP="00053F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F27E7" w:rsidRPr="00053F1D" w:rsidSect="00086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F1D"/>
    <w:rsid w:val="00053F1D"/>
    <w:rsid w:val="0008005A"/>
    <w:rsid w:val="00086AB9"/>
    <w:rsid w:val="003E5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B9"/>
  </w:style>
  <w:style w:type="paragraph" w:styleId="1">
    <w:name w:val="heading 1"/>
    <w:basedOn w:val="a"/>
    <w:link w:val="10"/>
    <w:uiPriority w:val="9"/>
    <w:qFormat/>
    <w:rsid w:val="00053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3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53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3F1D"/>
    <w:rPr>
      <w:b/>
      <w:bCs/>
    </w:rPr>
  </w:style>
  <w:style w:type="character" w:styleId="a5">
    <w:name w:val="Hyperlink"/>
    <w:basedOn w:val="a0"/>
    <w:uiPriority w:val="99"/>
    <w:semiHidden/>
    <w:unhideWhenUsed/>
    <w:rsid w:val="00053F1D"/>
    <w:rPr>
      <w:color w:val="0000FF"/>
      <w:u w:val="single"/>
    </w:rPr>
  </w:style>
  <w:style w:type="character" w:styleId="a6">
    <w:name w:val="Emphasis"/>
    <w:basedOn w:val="a0"/>
    <w:uiPriority w:val="20"/>
    <w:qFormat/>
    <w:rsid w:val="00053F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v.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528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82661/" TargetMode="External"/><Relationship Id="rId5" Type="http://schemas.openxmlformats.org/officeDocument/2006/relationships/hyperlink" Target="http://www.consultant.ru/document/cons_doc_LAW_182661/b6cb723e03231cd3029bbe4a271c3554c68ab85f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/document/cons_doc_LAW_15287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</cp:revision>
  <dcterms:created xsi:type="dcterms:W3CDTF">2021-09-23T09:42:00Z</dcterms:created>
  <dcterms:modified xsi:type="dcterms:W3CDTF">2021-09-23T09:44:00Z</dcterms:modified>
</cp:coreProperties>
</file>